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7CB7" w14:textId="77777777" w:rsidR="006C17C3" w:rsidRDefault="006C17C3" w:rsidP="006C17C3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4D70A2C9" w14:textId="2FC04C62" w:rsidR="00983C7B" w:rsidRDefault="00F5765A" w:rsidP="00F5765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57A29D10" wp14:editId="2FEBE702">
            <wp:extent cx="1769981" cy="716280"/>
            <wp:effectExtent l="57150" t="19050" r="59055" b="1028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84" cy="71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6D6E5D" w14:textId="7F3F0691" w:rsidR="00983C7B" w:rsidRDefault="00F5765A" w:rsidP="00983C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color w:val="0D733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A85C" wp14:editId="2A2AB1F8">
                <wp:simplePos x="0" y="0"/>
                <wp:positionH relativeFrom="margin">
                  <wp:posOffset>-171450</wp:posOffset>
                </wp:positionH>
                <wp:positionV relativeFrom="paragraph">
                  <wp:posOffset>87630</wp:posOffset>
                </wp:positionV>
                <wp:extent cx="6358890" cy="0"/>
                <wp:effectExtent l="38100" t="19050" r="6096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88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D733C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EC86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6.9pt" to="487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" strokecolor="#0d733c" strokeweight="1.5pt">
                <v:stroke joinstyle="miter"/>
                <v:shadow on="t" color="black" opacity="26214f" origin=",-.5" offset="0,3pt"/>
                <w10:wrap anchorx="margin"/>
              </v:line>
            </w:pict>
          </mc:Fallback>
        </mc:AlternateContent>
      </w:r>
    </w:p>
    <w:p w14:paraId="308E71F8" w14:textId="1BAF43E8" w:rsidR="00983C7B" w:rsidRDefault="00983C7B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</w:p>
    <w:p w14:paraId="2DCCD9FF" w14:textId="77777777" w:rsidR="00F5765A" w:rsidRPr="00F5765A" w:rsidRDefault="00F5765A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D733C"/>
          <w:sz w:val="16"/>
          <w:szCs w:val="16"/>
        </w:rPr>
      </w:pPr>
    </w:p>
    <w:p w14:paraId="73A54355" w14:textId="19232D16" w:rsidR="006C17C3" w:rsidRPr="006C17C3" w:rsidRDefault="006C17C3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  <w:r w:rsidRPr="006C17C3">
        <w:rPr>
          <w:rFonts w:asciiTheme="minorHAnsi" w:hAnsiTheme="minorHAnsi" w:cstheme="minorHAnsi"/>
          <w:b/>
          <w:bCs/>
          <w:color w:val="0D733C"/>
          <w:sz w:val="22"/>
          <w:szCs w:val="22"/>
        </w:rPr>
        <w:t>The Organization:</w:t>
      </w:r>
    </w:p>
    <w:p w14:paraId="27D5587E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2614FF54" w14:textId="16592A3B" w:rsidR="006C17C3" w:rsidRDefault="006C17C3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Alternatives for Youth (AFY) </w:t>
      </w:r>
      <w:hyperlink r:id="rId9" w:history="1">
        <w:r w:rsidRPr="006C17C3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www.thrivingteens.org</w:t>
        </w:r>
      </w:hyperlink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is a non-profit agency in Colorado that has been serving at-risk youth and their families for nearly 40 years. Our organization offers early intervention and diversion programs for youth 10-20 years of age who are facing alcohol, substance use and behavioral health challenges.  We’ve had the opportunity to serve 40,000 youth clientele and their parents utilizing </w:t>
      </w:r>
      <w:r w:rsidRPr="006C17C3">
        <w:rPr>
          <w:rFonts w:asciiTheme="minorHAnsi" w:hAnsiTheme="minorHAnsi" w:cstheme="minorHAnsi"/>
          <w:b/>
          <w:bCs/>
          <w:color w:val="434343"/>
          <w:sz w:val="20"/>
          <w:szCs w:val="20"/>
        </w:rPr>
        <w:t>SAMHSA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hyperlink r:id="rId10" w:history="1">
        <w:r w:rsidRPr="006C17C3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https://www.samhsa.gov/</w:t>
        </w:r>
      </w:hyperlink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 evidence-based, trauma informed, harm reduction practices.  </w:t>
      </w:r>
    </w:p>
    <w:p w14:paraId="75B5E8C8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0E93FF47" w14:textId="3EB09DE2" w:rsidR="006C17C3" w:rsidRPr="006C17C3" w:rsidRDefault="006C17C3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  <w:r w:rsidRPr="006C17C3">
        <w:rPr>
          <w:rFonts w:asciiTheme="minorHAnsi" w:hAnsiTheme="minorHAnsi" w:cstheme="minorHAnsi"/>
          <w:b/>
          <w:bCs/>
          <w:color w:val="0D733C"/>
          <w:sz w:val="22"/>
          <w:szCs w:val="22"/>
        </w:rPr>
        <w:t>The Opportunity:</w:t>
      </w:r>
    </w:p>
    <w:p w14:paraId="18A5C537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5EB4FE63" w14:textId="035E2C9B" w:rsidR="006C17C3" w:rsidRDefault="006C17C3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Alternatives for Youth is hiring </w:t>
      </w:r>
      <w:r w:rsidRPr="00F5765A">
        <w:rPr>
          <w:rFonts w:asciiTheme="minorHAnsi" w:hAnsiTheme="minorHAnsi" w:cstheme="minorHAnsi"/>
          <w:b/>
          <w:bCs/>
          <w:color w:val="0D733C"/>
          <w:sz w:val="22"/>
          <w:szCs w:val="22"/>
        </w:rPr>
        <w:t>Certified Addiction Counselors</w:t>
      </w:r>
      <w:r w:rsidRPr="00F5765A">
        <w:rPr>
          <w:rFonts w:asciiTheme="minorHAnsi" w:hAnsiTheme="minorHAnsi" w:cstheme="minorHAnsi"/>
          <w:color w:val="0D733C"/>
          <w:sz w:val="20"/>
          <w:szCs w:val="20"/>
        </w:rPr>
        <w:t xml:space="preserve">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to lead and facilitate group programs for youth </w:t>
      </w:r>
      <w:r w:rsidR="00F5765A">
        <w:rPr>
          <w:rFonts w:asciiTheme="minorHAnsi" w:hAnsiTheme="minorHAnsi" w:cstheme="minorHAnsi"/>
          <w:color w:val="000000"/>
          <w:sz w:val="20"/>
          <w:szCs w:val="20"/>
        </w:rPr>
        <w:t xml:space="preserve">ages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10-20 and their parents utilizing evidence-based practices and curriculums. Our programs are delivered in a group format, both virtually and in person. The ideal candidates bring their energy, compassion, commitment, </w:t>
      </w:r>
      <w:proofErr w:type="gramStart"/>
      <w:r w:rsidRPr="006C17C3">
        <w:rPr>
          <w:rFonts w:asciiTheme="minorHAnsi" w:hAnsiTheme="minorHAnsi" w:cstheme="minorHAnsi"/>
          <w:color w:val="000000"/>
          <w:sz w:val="20"/>
          <w:szCs w:val="20"/>
        </w:rPr>
        <w:t>training</w:t>
      </w:r>
      <w:proofErr w:type="gramEnd"/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 and experience to work with today’s youth and enable them with the knowledge and tools to both manage and overcome challenges with alcohol, substances and/or behavioral challenges. Our programs are special because we also collaborate with youths’ parent/s or guardian/s by providing the education and tools for parenting.</w:t>
      </w:r>
    </w:p>
    <w:p w14:paraId="471820F8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609013A0" w14:textId="2A8B87DA" w:rsidR="006C17C3" w:rsidRPr="006C17C3" w:rsidRDefault="006C17C3" w:rsidP="006C17C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  <w:r w:rsidRPr="006C17C3">
        <w:rPr>
          <w:rFonts w:asciiTheme="minorHAnsi" w:hAnsiTheme="minorHAnsi" w:cstheme="minorHAnsi"/>
          <w:b/>
          <w:bCs/>
          <w:color w:val="0D733C"/>
          <w:sz w:val="22"/>
          <w:szCs w:val="22"/>
        </w:rPr>
        <w:t>The Details:</w:t>
      </w:r>
    </w:p>
    <w:p w14:paraId="45E78ADD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124DBE0A" w14:textId="5ABFCBA1" w:rsidR="006C17C3" w:rsidRPr="006C17C3" w:rsidRDefault="006C17C3" w:rsidP="006C17C3">
      <w:pPr>
        <w:pStyle w:val="NormalWeb"/>
        <w:shd w:val="clear" w:color="auto" w:fill="FFFFFF"/>
        <w:spacing w:before="0" w:beforeAutospacing="0" w:after="160" w:afterAutospacing="0"/>
        <w:rPr>
          <w:rFonts w:asciiTheme="minorHAnsi" w:hAnsiTheme="minorHAnsi" w:cstheme="minorHAnsi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Alternatives for Youth is hiring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>licensed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part-time Certified Addictions Counselors (CAC) I, II, and III and/or Licensed Addictions Counselors (LAC)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. We are growing, so we have opportunities at various experience levels. 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As we work through the pandemic this year, some of these positions may move to full-time salaried roles with benefits.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>In addition to our in-person group programs, our organization is expanding to rural communities throughout Colorado in need of quality early intervention programs that can be delivered virtually. </w:t>
      </w:r>
    </w:p>
    <w:p w14:paraId="4B804219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Schedule: Some curriculums are delivered on nights and weekends which offers great flexibility to our counselors.</w:t>
      </w:r>
    </w:p>
    <w:p w14:paraId="1274A954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Comfortable facilitating and leading group sessions with a diverse client population.</w:t>
      </w:r>
    </w:p>
    <w:p w14:paraId="2090B2BD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Contribute to the ongoing assessment and treatment planning process through participation in daily reports, case reviews, and treatment team meetings</w:t>
      </w:r>
    </w:p>
    <w:p w14:paraId="6A25D17A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Ability to self-start, with strong organizational and interpersonal skills</w:t>
      </w:r>
    </w:p>
    <w:p w14:paraId="47E226D6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Ability to provide individual and group counseling using Evidence Based Practices</w:t>
      </w:r>
    </w:p>
    <w:p w14:paraId="49F8C0B3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Assist youth with defining and achieving realistic goals</w:t>
      </w:r>
    </w:p>
    <w:p w14:paraId="67056E83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Develop and maintain collaborative treatment plans </w:t>
      </w:r>
    </w:p>
    <w:p w14:paraId="566D8F79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Maintain patient records that are complete, </w:t>
      </w:r>
      <w:proofErr w:type="gramStart"/>
      <w:r w:rsidRPr="006C17C3">
        <w:rPr>
          <w:rFonts w:asciiTheme="minorHAnsi" w:hAnsiTheme="minorHAnsi" w:cstheme="minorHAnsi"/>
          <w:color w:val="000000"/>
          <w:sz w:val="20"/>
          <w:szCs w:val="20"/>
        </w:rPr>
        <w:t>comprehensive</w:t>
      </w:r>
      <w:proofErr w:type="gramEnd"/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 and well organized</w:t>
      </w:r>
    </w:p>
    <w:p w14:paraId="442606C6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Make appropriate referrals through case-management services as necessary</w:t>
      </w:r>
    </w:p>
    <w:p w14:paraId="01DEB067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Conduct clinical assessments and intakes when needed</w:t>
      </w:r>
    </w:p>
    <w:p w14:paraId="5722040F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Provide supportive counseling in integrated team approach</w:t>
      </w:r>
    </w:p>
    <w:p w14:paraId="4F028679" w14:textId="77777777" w:rsidR="006C17C3" w:rsidRPr="006C17C3" w:rsidRDefault="006C17C3" w:rsidP="006C17C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0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Ensure patient confidentiality</w:t>
      </w:r>
    </w:p>
    <w:p w14:paraId="2EEDA454" w14:textId="55E80043" w:rsidR="006C17C3" w:rsidRPr="006C17C3" w:rsidRDefault="006C17C3" w:rsidP="006C17C3">
      <w:pPr>
        <w:pStyle w:val="NormalWeb"/>
        <w:shd w:val="clear" w:color="auto" w:fill="FFFFFF"/>
        <w:spacing w:before="200" w:beforeAutospacing="0" w:after="0" w:afterAutospacing="0"/>
        <w:rPr>
          <w:rFonts w:asciiTheme="minorHAnsi" w:hAnsiTheme="minorHAnsi" w:cstheme="minorHAnsi"/>
          <w:b/>
          <w:bCs/>
          <w:color w:val="0D733C"/>
          <w:sz w:val="22"/>
          <w:szCs w:val="22"/>
        </w:rPr>
      </w:pPr>
      <w:r w:rsidRPr="006C17C3">
        <w:rPr>
          <w:rFonts w:asciiTheme="minorHAnsi" w:hAnsiTheme="minorHAnsi" w:cstheme="minorHAnsi"/>
          <w:b/>
          <w:bCs/>
          <w:color w:val="0D733C"/>
          <w:sz w:val="22"/>
          <w:szCs w:val="22"/>
        </w:rPr>
        <w:t>Th</w:t>
      </w:r>
      <w:r w:rsidRPr="006C17C3">
        <w:rPr>
          <w:rFonts w:asciiTheme="minorHAnsi" w:hAnsiTheme="minorHAnsi" w:cstheme="minorHAnsi"/>
          <w:b/>
          <w:bCs/>
          <w:color w:val="0D733C"/>
          <w:sz w:val="22"/>
          <w:szCs w:val="22"/>
        </w:rPr>
        <w:t xml:space="preserve">e </w:t>
      </w:r>
      <w:r w:rsidRPr="006C17C3">
        <w:rPr>
          <w:rFonts w:asciiTheme="minorHAnsi" w:hAnsiTheme="minorHAnsi" w:cstheme="minorHAnsi"/>
          <w:b/>
          <w:bCs/>
          <w:color w:val="0D733C"/>
          <w:sz w:val="22"/>
          <w:szCs w:val="22"/>
        </w:rPr>
        <w:t>Compensation:</w:t>
      </w:r>
    </w:p>
    <w:p w14:paraId="788C9E8A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1E54048A" w14:textId="28ADF177" w:rsidR="006C17C3" w:rsidRDefault="006C17C3" w:rsidP="006C17C3">
      <w:pPr>
        <w:pStyle w:val="NoSpacing"/>
        <w:rPr>
          <w:sz w:val="20"/>
          <w:szCs w:val="20"/>
        </w:rPr>
      </w:pPr>
      <w:r w:rsidRPr="006C17C3">
        <w:rPr>
          <w:sz w:val="20"/>
          <w:szCs w:val="20"/>
        </w:rPr>
        <w:t>The compensation plan is based upon experience level</w:t>
      </w:r>
      <w:r>
        <w:rPr>
          <w:sz w:val="20"/>
          <w:szCs w:val="20"/>
        </w:rPr>
        <w:t xml:space="preserve"> –</w:t>
      </w:r>
    </w:p>
    <w:p w14:paraId="341531A8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5DEA4807" w14:textId="4D8D41C6" w:rsidR="006C17C3" w:rsidRPr="006C17C3" w:rsidRDefault="006C17C3" w:rsidP="006C17C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17C3">
        <w:rPr>
          <w:sz w:val="20"/>
          <w:szCs w:val="20"/>
        </w:rPr>
        <w:t>CAC I, II, or III</w:t>
      </w:r>
      <w:r w:rsidR="00F5765A">
        <w:rPr>
          <w:sz w:val="20"/>
          <w:szCs w:val="20"/>
        </w:rPr>
        <w:t>, Licensed Addictions Counselor (LAC)</w:t>
      </w:r>
      <w:r w:rsidRPr="006C17C3">
        <w:rPr>
          <w:sz w:val="20"/>
          <w:szCs w:val="20"/>
        </w:rPr>
        <w:t xml:space="preserve"> and</w:t>
      </w:r>
      <w:r w:rsidR="00F5765A">
        <w:rPr>
          <w:sz w:val="20"/>
          <w:szCs w:val="20"/>
        </w:rPr>
        <w:t>/</w:t>
      </w:r>
      <w:r w:rsidRPr="006C17C3">
        <w:rPr>
          <w:sz w:val="20"/>
          <w:szCs w:val="20"/>
        </w:rPr>
        <w:t xml:space="preserve">or other Education (Bachelors and/or </w:t>
      </w:r>
      <w:proofErr w:type="spellStart"/>
      <w:proofErr w:type="gramStart"/>
      <w:r w:rsidRPr="006C17C3">
        <w:rPr>
          <w:sz w:val="20"/>
          <w:szCs w:val="20"/>
        </w:rPr>
        <w:t>Masters</w:t>
      </w:r>
      <w:proofErr w:type="spellEnd"/>
      <w:r w:rsidRPr="006C17C3">
        <w:rPr>
          <w:sz w:val="20"/>
          <w:szCs w:val="20"/>
        </w:rPr>
        <w:t xml:space="preserve"> Degree</w:t>
      </w:r>
      <w:proofErr w:type="gramEnd"/>
      <w:r w:rsidRPr="006C17C3">
        <w:rPr>
          <w:sz w:val="20"/>
          <w:szCs w:val="20"/>
        </w:rPr>
        <w:t>)</w:t>
      </w:r>
    </w:p>
    <w:p w14:paraId="7FDA0DC7" w14:textId="77777777" w:rsidR="006C17C3" w:rsidRPr="006C17C3" w:rsidRDefault="006C17C3" w:rsidP="006C17C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17C3">
        <w:rPr>
          <w:sz w:val="20"/>
          <w:szCs w:val="20"/>
        </w:rPr>
        <w:t>Work experience</w:t>
      </w:r>
    </w:p>
    <w:p w14:paraId="6B4F984E" w14:textId="0AEB0193" w:rsidR="006C17C3" w:rsidRDefault="006C17C3" w:rsidP="006C17C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C17C3">
        <w:rPr>
          <w:sz w:val="20"/>
          <w:szCs w:val="20"/>
        </w:rPr>
        <w:t>Full-time positions include competitive benefit package with medical, dental, and vision.  </w:t>
      </w:r>
    </w:p>
    <w:p w14:paraId="66AE4238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6792E2D7" w14:textId="73504011" w:rsidR="006C17C3" w:rsidRPr="006C17C3" w:rsidRDefault="006C17C3" w:rsidP="006C17C3">
      <w:pPr>
        <w:pStyle w:val="NoSpacing"/>
        <w:rPr>
          <w:b/>
          <w:bCs/>
          <w:color w:val="0D733C"/>
        </w:rPr>
      </w:pPr>
      <w:r w:rsidRPr="006C17C3">
        <w:rPr>
          <w:b/>
          <w:bCs/>
          <w:color w:val="0D733C"/>
        </w:rPr>
        <w:t>To Apply:</w:t>
      </w:r>
    </w:p>
    <w:p w14:paraId="68B6BC1E" w14:textId="77777777" w:rsidR="006C17C3" w:rsidRPr="006C17C3" w:rsidRDefault="006C17C3" w:rsidP="006C17C3">
      <w:pPr>
        <w:pStyle w:val="NoSpacing"/>
        <w:rPr>
          <w:sz w:val="8"/>
          <w:szCs w:val="8"/>
        </w:rPr>
      </w:pPr>
    </w:p>
    <w:p w14:paraId="0B8643F0" w14:textId="2F4575CA" w:rsidR="00D3508A" w:rsidRPr="006C17C3" w:rsidRDefault="006C17C3" w:rsidP="00F5765A">
      <w:pPr>
        <w:pStyle w:val="NormalWeb"/>
        <w:shd w:val="clear" w:color="auto" w:fill="FFFFFF"/>
        <w:spacing w:before="0" w:beforeAutospacing="0" w:after="200" w:afterAutospacing="0"/>
        <w:rPr>
          <w:rFonts w:asciiTheme="minorHAnsi" w:hAnsiTheme="minorHAnsi" w:cstheme="minorHAnsi"/>
        </w:rPr>
      </w:pPr>
      <w:r w:rsidRPr="006C17C3">
        <w:rPr>
          <w:rFonts w:asciiTheme="minorHAnsi" w:hAnsiTheme="minorHAnsi" w:cstheme="minorHAnsi"/>
          <w:color w:val="000000"/>
          <w:sz w:val="20"/>
          <w:szCs w:val="20"/>
        </w:rPr>
        <w:t>Please send a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cover letter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 xml:space="preserve">and 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resume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>to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hyperlink r:id="rId11" w:history="1">
        <w:r w:rsidRPr="006C17C3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apply@alternativesforyouth.org</w:t>
        </w:r>
      </w:hyperlink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. </w:t>
      </w:r>
      <w:r w:rsidRPr="006C17C3">
        <w:rPr>
          <w:rFonts w:asciiTheme="minorHAnsi" w:hAnsiTheme="minorHAnsi" w:cstheme="minorHAnsi"/>
          <w:color w:val="000000"/>
          <w:sz w:val="20"/>
          <w:szCs w:val="20"/>
        </w:rPr>
        <w:t>You may also visit our website job board at</w:t>
      </w:r>
      <w:r w:rsidRPr="006C17C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hyperlink r:id="rId12" w:history="1">
        <w:r w:rsidRPr="006C17C3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https://www.alternativesforyouth.net/job-board</w:t>
        </w:r>
      </w:hyperlink>
      <w:r w:rsidRPr="006C17C3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sectPr w:rsidR="00D3508A" w:rsidRPr="006C17C3" w:rsidSect="00F5765A">
      <w:pgSz w:w="12240" w:h="15840"/>
      <w:pgMar w:top="144" w:right="1440" w:bottom="864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DC51" w14:textId="77777777" w:rsidR="0081772B" w:rsidRDefault="0081772B" w:rsidP="006C17C3">
      <w:pPr>
        <w:spacing w:after="0" w:line="240" w:lineRule="auto"/>
      </w:pPr>
      <w:r>
        <w:separator/>
      </w:r>
    </w:p>
  </w:endnote>
  <w:endnote w:type="continuationSeparator" w:id="0">
    <w:p w14:paraId="0D0126C0" w14:textId="77777777" w:rsidR="0081772B" w:rsidRDefault="0081772B" w:rsidP="006C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20FA" w14:textId="77777777" w:rsidR="0081772B" w:rsidRDefault="0081772B" w:rsidP="006C17C3">
      <w:pPr>
        <w:spacing w:after="0" w:line="240" w:lineRule="auto"/>
      </w:pPr>
      <w:r>
        <w:separator/>
      </w:r>
    </w:p>
  </w:footnote>
  <w:footnote w:type="continuationSeparator" w:id="0">
    <w:p w14:paraId="1A119AB0" w14:textId="77777777" w:rsidR="0081772B" w:rsidRDefault="0081772B" w:rsidP="006C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416B1"/>
    <w:multiLevelType w:val="multilevel"/>
    <w:tmpl w:val="6E2E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B30A6"/>
    <w:multiLevelType w:val="multilevel"/>
    <w:tmpl w:val="1090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C2B3D"/>
    <w:multiLevelType w:val="hybridMultilevel"/>
    <w:tmpl w:val="DB3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numFmt w:val="lowerLetter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C3"/>
    <w:rsid w:val="006C17C3"/>
    <w:rsid w:val="0081772B"/>
    <w:rsid w:val="00983C7B"/>
    <w:rsid w:val="00D3508A"/>
    <w:rsid w:val="00F5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78320"/>
  <w15:chartTrackingRefBased/>
  <w15:docId w15:val="{7160C9EC-03D8-418A-8DBA-2431C736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C17C3"/>
    <w:rPr>
      <w:color w:val="0000FF"/>
      <w:u w:val="single"/>
    </w:rPr>
  </w:style>
  <w:style w:type="paragraph" w:styleId="NoSpacing">
    <w:name w:val="No Spacing"/>
    <w:uiPriority w:val="1"/>
    <w:qFormat/>
    <w:rsid w:val="006C17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7C3"/>
  </w:style>
  <w:style w:type="paragraph" w:styleId="Footer">
    <w:name w:val="footer"/>
    <w:basedOn w:val="Normal"/>
    <w:link w:val="FooterChar"/>
    <w:uiPriority w:val="99"/>
    <w:unhideWhenUsed/>
    <w:rsid w:val="006C1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lternativesforyouth.net/job-bo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ly@alternativesforyouth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mhsa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rivingteen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FFCE-FEB6-4A57-B706-E00F9244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Bradford</dc:creator>
  <cp:keywords/>
  <dc:description/>
  <cp:lastModifiedBy>Scott Bradford</cp:lastModifiedBy>
  <cp:revision>1</cp:revision>
  <dcterms:created xsi:type="dcterms:W3CDTF">2021-08-04T17:27:00Z</dcterms:created>
  <dcterms:modified xsi:type="dcterms:W3CDTF">2021-08-04T17:57:00Z</dcterms:modified>
</cp:coreProperties>
</file>